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Co patří / nepatří do nádob na BRKO</w:t>
      </w:r>
    </w:p>
    <w:p>
      <w:pPr>
        <w:pStyle w:val="Normal"/>
        <w:bidi w:val="0"/>
        <w:jc w:val="left"/>
        <w:rPr/>
      </w:pPr>
      <w:r>
        <w:rPr/>
      </w:r>
    </w:p>
    <w:tbl>
      <w:tblPr>
        <w:tblW w:w="9672" w:type="dxa"/>
        <w:jc w:val="left"/>
        <w:tblInd w:w="-4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5"/>
        <w:gridCol w:w="3420"/>
        <w:gridCol w:w="3417"/>
      </w:tblGrid>
      <w:tr>
        <w:trPr>
          <w:trHeight w:val="751" w:hRule="atLeast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 w:cs="Arial"/>
                <w:b/>
                <w:b/>
                <w:bCs/>
                <w:color w:val="000000"/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posOffset>-76835</wp:posOffset>
                  </wp:positionH>
                  <wp:positionV relativeFrom="paragraph">
                    <wp:posOffset>590550</wp:posOffset>
                  </wp:positionV>
                  <wp:extent cx="1809115" cy="1791335"/>
                  <wp:effectExtent l="0" t="0" r="0" b="0"/>
                  <wp:wrapNone/>
                  <wp:docPr id="1" name="Tvar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var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115" cy="179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 w:ascii="Times New Roman" w:hAnsi="Times New Roman"/>
                <w:b/>
                <w:bCs/>
                <w:color w:val="000000"/>
                <w:sz w:val="24"/>
                <w:szCs w:val="24"/>
                <w:shd w:fill="auto" w:val="clear"/>
              </w:rPr>
              <w:t>B</w:t>
            </w:r>
            <w:r>
              <w:rPr>
                <w:rFonts w:cs="Arial" w:ascii="Times New Roman" w:hAnsi="Times New Roman"/>
                <w:b/>
                <w:bCs/>
                <w:color w:val="000000"/>
                <w:sz w:val="24"/>
                <w:szCs w:val="24"/>
                <w:shd w:fill="auto" w:val="clear"/>
              </w:rPr>
              <w:t>RKO</w:t>
            </w:r>
          </w:p>
          <w:p>
            <w:pPr>
              <w:pStyle w:val="Normal"/>
              <w:widowControl w:val="false"/>
              <w:bidi w:val="0"/>
              <w:snapToGrid w:val="false"/>
              <w:jc w:val="left"/>
              <w:rPr>
                <w:rFonts w:ascii="Times New Roman" w:hAnsi="Times New Roman" w:cs="Arial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Arial" w:ascii="Times New Roman" w:hAnsi="Times New Roman"/>
                <w:b/>
                <w:bCs/>
                <w:color w:val="000000"/>
                <w:sz w:val="24"/>
                <w:szCs w:val="24"/>
                <w:shd w:fill="auto" w:val="clear"/>
              </w:rPr>
              <w:t>Popelnice 240 l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3F8080" w:val="clear"/>
          </w:tcPr>
          <w:p>
            <w:pPr>
              <w:pStyle w:val="Normal"/>
              <w:widowControl w:val="false"/>
              <w:bidi w:val="0"/>
              <w:snapToGrid w:val="false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cs="Arial"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Normal"/>
              <w:widowControl w:val="false"/>
              <w:bidi w:val="0"/>
              <w:jc w:val="center"/>
              <w:rPr>
                <w:rFonts w:ascii="Times New Roman" w:hAnsi="Times New Roman" w:cs="Arial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Arial" w:ascii="Times New Roman" w:hAnsi="Times New Roman"/>
                <w:b/>
                <w:bCs/>
                <w:color w:val="000000"/>
                <w:sz w:val="24"/>
                <w:szCs w:val="24"/>
              </w:rPr>
              <w:t>PATŘÍ</w:t>
            </w:r>
          </w:p>
        </w:tc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0000" w:val="clear"/>
          </w:tcPr>
          <w:p>
            <w:pPr>
              <w:pStyle w:val="Normal"/>
              <w:widowControl w:val="false"/>
              <w:bidi w:val="0"/>
              <w:snapToGrid w:val="false"/>
              <w:jc w:val="center"/>
              <w:rPr>
                <w:rFonts w:ascii="Times New Roman" w:hAnsi="Times New Roman" w:cs="Arial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Arial"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Normal"/>
              <w:widowControl w:val="false"/>
              <w:bidi w:val="0"/>
              <w:jc w:val="center"/>
              <w:rPr>
                <w:rFonts w:ascii="Times New Roman" w:hAnsi="Times New Roman" w:cs="Arial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Arial" w:ascii="Times New Roman" w:hAnsi="Times New Roman"/>
                <w:b/>
                <w:bCs/>
                <w:color w:val="000000"/>
                <w:sz w:val="24"/>
                <w:szCs w:val="24"/>
              </w:rPr>
              <w:t>NEPATŘÍ</w:t>
            </w:r>
          </w:p>
        </w:tc>
      </w:tr>
      <w:tr>
        <w:trPr>
          <w:trHeight w:val="6509" w:hRule="atLeast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1E2FF" w:val="clear"/>
          </w:tcPr>
          <w:p>
            <w:pPr>
              <w:pStyle w:val="Normal"/>
              <w:widowControl w:val="false"/>
              <w:bidi w:val="0"/>
              <w:snapToGrid w:val="false"/>
              <w:jc w:val="left"/>
              <w:rPr>
                <w:rFonts w:ascii="Times New Roman" w:hAnsi="Times New Roman" w:cs="Arial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Arial" w:ascii="Times New Roman" w:hAnsi="Times New Roman"/>
                <w:b/>
                <w:bCs/>
                <w:color w:val="000000"/>
                <w:sz w:val="24"/>
                <w:szCs w:val="24"/>
                <w:shd w:fill="auto" w:val="clear"/>
              </w:rPr>
            </w:r>
          </w:p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 w:cs="Arial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Arial" w:ascii="Times New Roman" w:hAnsi="Times New Roman"/>
                <w:b/>
                <w:bCs/>
                <w:color w:val="000000"/>
                <w:sz w:val="24"/>
                <w:szCs w:val="24"/>
                <w:shd w:fill="auto" w:val="clear"/>
              </w:rPr>
            </w:r>
          </w:p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 w:cs="Arial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Arial" w:ascii="Times New Roman" w:hAnsi="Times New Roman"/>
                <w:b/>
                <w:bCs/>
                <w:color w:val="000000"/>
                <w:sz w:val="24"/>
                <w:szCs w:val="24"/>
                <w:shd w:fill="auto" w:val="clear"/>
              </w:rPr>
            </w:r>
          </w:p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 w:cs="Arial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Arial" w:ascii="Times New Roman" w:hAnsi="Times New Roman"/>
                <w:b/>
                <w:bCs/>
                <w:color w:val="000000"/>
                <w:sz w:val="24"/>
                <w:szCs w:val="24"/>
                <w:shd w:fill="auto" w:val="clear"/>
              </w:rPr>
            </w:r>
          </w:p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 w:cs="Arial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Arial" w:ascii="Times New Roman" w:hAnsi="Times New Roman"/>
                <w:b/>
                <w:bCs/>
                <w:color w:val="000000"/>
                <w:sz w:val="24"/>
                <w:szCs w:val="24"/>
                <w:shd w:fill="auto" w:val="clear"/>
              </w:rPr>
            </w:r>
          </w:p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 w:cs="Arial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shd w:fill="auto" w:val="clear"/>
              </w:rPr>
              <w:drawing>
                <wp:inline distT="0" distB="0" distL="0" distR="0">
                  <wp:extent cx="1664335" cy="2391410"/>
                  <wp:effectExtent l="0" t="0" r="0" b="0"/>
                  <wp:docPr id="2" name="Obrázek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 l="-2" t="-1" r="-2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239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 w:eastAsia="Arial" w:cs="Arial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Arial" w:cs="Arial" w:ascii="Times New Roman" w:hAnsi="Times New Roman"/>
                <w:b/>
                <w:bCs/>
                <w:color w:val="000000"/>
                <w:sz w:val="24"/>
                <w:szCs w:val="24"/>
                <w:shd w:fill="auto" w:val="clear"/>
              </w:rPr>
              <w:t xml:space="preserve"> 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C1FFD5" w:val="clear"/>
          </w:tcPr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cs="Arial"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cs="Arial" w:ascii="Times New Roman" w:hAnsi="Times New Roman"/>
                <w:color w:val="000000"/>
                <w:sz w:val="24"/>
                <w:szCs w:val="24"/>
              </w:rPr>
              <w:t xml:space="preserve">Tráva, listí, seno, sláma a plevel ze zahrad a parků  </w:t>
            </w:r>
          </w:p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cs="Arial" w:ascii="Times New Roman" w:hAnsi="Times New Roman"/>
                <w:color w:val="000000"/>
                <w:sz w:val="24"/>
                <w:szCs w:val="24"/>
              </w:rPr>
              <w:t xml:space="preserve">                                                            </w:t>
            </w:r>
          </w:p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cs="Arial" w:ascii="Times New Roman" w:hAnsi="Times New Roman"/>
                <w:color w:val="000000"/>
                <w:sz w:val="24"/>
                <w:szCs w:val="24"/>
              </w:rPr>
              <w:t>Zbytky z ovoce a zeleniny</w:t>
            </w:r>
          </w:p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cs="Arial"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cs="Arial" w:ascii="Times New Roman" w:hAnsi="Times New Roman"/>
                <w:color w:val="000000"/>
                <w:sz w:val="24"/>
                <w:szCs w:val="24"/>
              </w:rPr>
              <w:t>Slupky z citrusových plodů</w:t>
            </w:r>
          </w:p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cs="Arial"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cs="Arial" w:ascii="Times New Roman" w:hAnsi="Times New Roman"/>
                <w:color w:val="000000"/>
                <w:sz w:val="24"/>
                <w:szCs w:val="24"/>
              </w:rPr>
              <w:t>Zbytky chleba, pečiva a obilnin</w:t>
            </w:r>
          </w:p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cs="Arial"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cs="Arial" w:ascii="Times New Roman" w:hAnsi="Times New Roman"/>
                <w:color w:val="000000"/>
                <w:sz w:val="24"/>
                <w:szCs w:val="24"/>
              </w:rPr>
              <w:t>Skořápky od vajec a ořechů</w:t>
            </w:r>
          </w:p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cs="Arial"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cs="Arial" w:ascii="Times New Roman" w:hAnsi="Times New Roman"/>
                <w:color w:val="000000"/>
                <w:sz w:val="24"/>
                <w:szCs w:val="24"/>
              </w:rPr>
              <w:t xml:space="preserve">Sedliny z kávy a čaje (i s filtrem), čajové sáčky </w:t>
            </w:r>
          </w:p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cs="Arial" w:ascii="Times New Roman" w:hAnsi="Times New Roman"/>
                <w:color w:val="000000"/>
                <w:sz w:val="24"/>
                <w:szCs w:val="24"/>
              </w:rPr>
              <w:t>Piliny, popel ze dřeva</w:t>
            </w:r>
          </w:p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cs="Arial"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cs="Arial" w:ascii="Times New Roman" w:hAnsi="Times New Roman"/>
                <w:color w:val="000000"/>
                <w:sz w:val="24"/>
                <w:szCs w:val="24"/>
              </w:rPr>
              <w:t>Uschlé květiny</w:t>
            </w:r>
          </w:p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cs="Arial" w:ascii="Times New Roman" w:hAnsi="Times New Roman"/>
                <w:color w:val="000000"/>
                <w:sz w:val="24"/>
                <w:szCs w:val="24"/>
              </w:rPr>
              <w:t>Rostlinné zbytky z domácností</w:t>
            </w:r>
          </w:p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cs="Arial"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cs="Arial" w:ascii="Times New Roman" w:hAnsi="Times New Roman"/>
                <w:color w:val="000000"/>
                <w:sz w:val="24"/>
                <w:szCs w:val="24"/>
              </w:rPr>
              <w:t>Papírové kapesníky, papírové utěrky, ubrousky a papírové sáčky</w:t>
            </w:r>
          </w:p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cs="Arial"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cs="Arial" w:ascii="Times New Roman" w:hAnsi="Times New Roman"/>
                <w:color w:val="000000"/>
                <w:sz w:val="24"/>
                <w:szCs w:val="24"/>
              </w:rPr>
              <w:t>Špinavé papíry z přípravy jídel, papírové obaly z potravin.</w:t>
            </w:r>
          </w:p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cs="Arial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C0CE" w:val="clear"/>
          </w:tcPr>
          <w:p>
            <w:pPr>
              <w:pStyle w:val="Normal"/>
              <w:widowControl w:val="false"/>
              <w:bidi w:val="0"/>
              <w:snapToGrid w:val="false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cs="Arial"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 w:cs="Arial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Arial" w:ascii="Times New Roman" w:hAnsi="Times New Roman"/>
                <w:b/>
                <w:bCs/>
                <w:color w:val="000000"/>
                <w:sz w:val="24"/>
                <w:szCs w:val="24"/>
              </w:rPr>
              <w:t>Chemické a nebezpečné látky</w:t>
            </w:r>
          </w:p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 w:cs="Arial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Arial"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 w:cs="Arial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Arial" w:ascii="Times New Roman" w:hAnsi="Times New Roman"/>
                <w:b/>
                <w:bCs/>
                <w:color w:val="000000"/>
                <w:sz w:val="24"/>
                <w:szCs w:val="24"/>
              </w:rPr>
              <w:t>Cizorodé látky – plast (umělé hmoty všeho druhu), sklo, kovy a textilie</w:t>
            </w:r>
          </w:p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 w:cs="Arial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Arial"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 w:cs="Arial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Arial" w:ascii="Times New Roman" w:hAnsi="Times New Roman"/>
                <w:b/>
                <w:bCs/>
                <w:color w:val="000000"/>
                <w:sz w:val="24"/>
                <w:szCs w:val="24"/>
              </w:rPr>
              <w:t>Stavební materiály a sutě</w:t>
            </w:r>
          </w:p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 w:cs="Arial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Arial"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 w:cs="Arial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Arial" w:ascii="Times New Roman" w:hAnsi="Times New Roman"/>
                <w:b/>
                <w:bCs/>
                <w:color w:val="000000"/>
                <w:sz w:val="24"/>
                <w:szCs w:val="24"/>
              </w:rPr>
              <w:t>Směsný komunální odpad</w:t>
            </w:r>
          </w:p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 w:cs="Arial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Arial"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 w:cs="Arial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Arial" w:ascii="Times New Roman" w:hAnsi="Times New Roman"/>
                <w:b/>
                <w:bCs/>
                <w:color w:val="000000"/>
                <w:sz w:val="24"/>
                <w:szCs w:val="24"/>
              </w:rPr>
              <w:t>Uhynulá zvířata</w:t>
            </w:r>
          </w:p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 w:cs="Arial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Arial"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 w:cs="Arial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Arial" w:ascii="Times New Roman" w:hAnsi="Times New Roman"/>
                <w:b/>
                <w:bCs/>
                <w:color w:val="000000"/>
                <w:sz w:val="24"/>
                <w:szCs w:val="24"/>
              </w:rPr>
              <w:t>Živočišné zbytky – jako maso, kůže, kosti, exkrementy masožravých zvířat musí být před zpracováním v kompostu nebo bioplynové stanici tzv. hygienizovány.  Hygienizace zajistí usmrcení původců chorob.</w:t>
            </w:r>
          </w:p>
        </w:tc>
      </w:tr>
    </w:tbl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cs-CZ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cs-CZ" w:eastAsia="zh-CN" w:bidi="hi-IN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70</TotalTime>
  <Application>LibreOffice/7.0.6.2$Windows_X86_64 LibreOffice_project/144abb84a525d8e30c9dbbefa69cbbf2d8d4ae3b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2022-03-30T09:42:15Z</dcterms:created>
  <dc:creator/>
  <dc:description/>
  <dc:language>cs-CZ</dc:language>
  <cp:lastModifiedBy/>
  <dcterms:modified xsi:type="dcterms:W3CDTF">2022-03-30T11:11:21Z</dcterms:modified>
  <cp:revision>1</cp:revision>
  <dc:subject/>
  <dc:title/>
</cp:coreProperties>
</file>